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 xml:space="preserve">Świeradów Zdrój, 14.06.2017 r. </w:t>
      </w:r>
    </w:p>
    <w:p>
      <w:pPr>
        <w:pStyle w:val="Normal"/>
        <w:rPr/>
      </w:pPr>
      <w:r>
        <w:rPr/>
        <w:t>Znak sprawy: ZP.271.11.2017</w:t>
      </w:r>
    </w:p>
    <w:p>
      <w:pPr>
        <w:pStyle w:val="Normal"/>
        <w:ind w:left="5670" w:hanging="0"/>
        <w:rPr>
          <w:b/>
          <w:b/>
        </w:rPr>
      </w:pPr>
      <w:r>
        <w:rPr>
          <w:b/>
        </w:rPr>
        <w:t>Wszyscy Wykonawcy</w:t>
      </w:r>
    </w:p>
    <w:p>
      <w:pPr>
        <w:pStyle w:val="Normal"/>
        <w:jc w:val="both"/>
        <w:rPr>
          <w:b/>
          <w:b/>
        </w:rPr>
      </w:pPr>
      <w:r>
        <w:rPr/>
        <w:t>Dotyczy</w:t>
      </w:r>
      <w:r>
        <w:rPr>
          <w:b/>
        </w:rPr>
        <w:t xml:space="preserve">: postępowania prowadzonego w trybie przetargu nieograniczonego na ubezpieczenie majątku i innych interesów Gminy Miejskiej Świeradów-Zdrój wraz z jednostkami organizacyjnymi </w:t>
        <w:br/>
        <w:t>i instytucjami kultury  (znak sprawy: ZP.271.11.2017).</w:t>
      </w:r>
    </w:p>
    <w:p>
      <w:pPr>
        <w:pStyle w:val="Normal"/>
        <w:rPr/>
      </w:pPr>
      <w:r>
        <w:rPr/>
        <w:t>Działając na podstawie art. 86 ust. 5 ustawy z dnia 29 stycznia 2004 r. Prawo zamówień publicznych (tj. z 2015 r. poz. 2164 z późn. zmianami) Zamawiający informuje:</w:t>
      </w:r>
    </w:p>
    <w:p>
      <w:pPr>
        <w:pStyle w:val="ListParagraph"/>
        <w:numPr>
          <w:ilvl w:val="0"/>
          <w:numId w:val="1"/>
        </w:numPr>
        <w:rPr/>
      </w:pPr>
      <w:r>
        <w:rPr/>
        <w:t>Kwota jaką zamierza przeznaczyć na sfinansowanie zamówienia wynosi:</w:t>
      </w:r>
    </w:p>
    <w:p>
      <w:pPr>
        <w:pStyle w:val="ListParagraph"/>
        <w:rPr/>
      </w:pPr>
      <w:r>
        <w:rPr/>
        <w:t>Część I: ubezpieczenie majątku i odpowiedzialności cywilnej Gminy Miejskiej Świeradów-Zdrój wraz z jednostkami organizacyjnymi i instytucjami kultury:</w:t>
      </w:r>
    </w:p>
    <w:p>
      <w:pPr>
        <w:pStyle w:val="ListParagraph"/>
        <w:rPr/>
      </w:pPr>
      <w:r>
        <w:rPr/>
        <w:t xml:space="preserve"> </w:t>
      </w:r>
      <w:r>
        <w:rPr/>
        <w:t>38.000,00 składka roczna</w:t>
      </w:r>
    </w:p>
    <w:p>
      <w:pPr>
        <w:pStyle w:val="ListParagraph"/>
        <w:rPr/>
      </w:pPr>
      <w:r>
        <w:rPr/>
        <w:t>76 000,00 składka za cały okres zamówienia</w:t>
      </w:r>
    </w:p>
    <w:p>
      <w:pPr>
        <w:pStyle w:val="ListParagraph"/>
        <w:rPr/>
      </w:pPr>
      <w:r>
        <w:rPr/>
        <w:t xml:space="preserve">Część II: ubezpieczenie pojazdów mechanicznych Gminy Miejskiej Świeradów-Zdrój: </w:t>
      </w:r>
    </w:p>
    <w:p>
      <w:pPr>
        <w:pStyle w:val="ListParagraph"/>
        <w:rPr/>
      </w:pPr>
      <w:r>
        <w:rPr/>
        <w:t>52 000,00 składka roczna</w:t>
      </w:r>
    </w:p>
    <w:p>
      <w:pPr>
        <w:pStyle w:val="ListParagraph"/>
        <w:rPr/>
      </w:pPr>
      <w:r>
        <w:rPr/>
        <w:t>104.000,00 składka za cały okres zamówienia</w:t>
      </w:r>
    </w:p>
    <w:p>
      <w:pPr>
        <w:pStyle w:val="ListParagraph"/>
        <w:rPr/>
      </w:pPr>
      <w:r>
        <w:rPr/>
        <w:t xml:space="preserve">Część III: ubezpieczenie następstw nieszczęśliwych wypadków członków Ochotniczych Straży Pożarnych Gminy Miejskiej Świeradów-Zdrój: </w:t>
      </w:r>
    </w:p>
    <w:p>
      <w:pPr>
        <w:pStyle w:val="ListParagraph"/>
        <w:rPr/>
      </w:pPr>
      <w:r>
        <w:rPr/>
        <w:t xml:space="preserve"> </w:t>
      </w:r>
      <w:r>
        <w:rPr/>
        <w:t xml:space="preserve">1.500,00 </w:t>
      </w:r>
    </w:p>
    <w:p>
      <w:pPr>
        <w:pStyle w:val="ListParagraph"/>
        <w:rPr/>
      </w:pPr>
      <w:r>
        <w:rPr/>
        <w:t>Razem: 91.500,00  składka roczna , 181 500,00 składka za cały okres zamówienia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Nazwy i adresy Wykonawców którzy złożyli oferty:</w:t>
      </w:r>
    </w:p>
    <w:tbl>
      <w:tblPr>
        <w:tblStyle w:val="Tabela-Siatka"/>
        <w:tblW w:w="9973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4"/>
        <w:gridCol w:w="1973"/>
        <w:gridCol w:w="1843"/>
        <w:gridCol w:w="1823"/>
        <w:gridCol w:w="1155"/>
        <w:gridCol w:w="1319"/>
        <w:gridCol w:w="1315"/>
      </w:tblGrid>
      <w:tr>
        <w:trPr/>
        <w:tc>
          <w:tcPr>
            <w:tcW w:w="544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97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Nazwa Wykonawcy</w:t>
            </w:r>
          </w:p>
        </w:tc>
        <w:tc>
          <w:tcPr>
            <w:tcW w:w="184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Adres Wykonawcy</w:t>
            </w:r>
          </w:p>
        </w:tc>
        <w:tc>
          <w:tcPr>
            <w:tcW w:w="182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Część zamówienia</w:t>
            </w:r>
          </w:p>
        </w:tc>
        <w:tc>
          <w:tcPr>
            <w:tcW w:w="11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Łączna cena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za cały okres zamówienia </w:t>
            </w:r>
          </w:p>
        </w:tc>
        <w:tc>
          <w:tcPr>
            <w:tcW w:w="131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Termin wykonania zamówienia</w:t>
            </w:r>
          </w:p>
        </w:tc>
        <w:tc>
          <w:tcPr>
            <w:tcW w:w="131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Warunki płatności</w:t>
            </w:r>
          </w:p>
        </w:tc>
      </w:tr>
      <w:tr>
        <w:trPr/>
        <w:tc>
          <w:tcPr>
            <w:tcW w:w="544" w:type="dxa"/>
            <w:vMerge w:val="restart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1973" w:type="dxa"/>
            <w:vMerge w:val="restart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Towarzystwo Ubezpieczeń Wzajemnych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Biuro Regionalne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we Wrocławiu</w:t>
            </w:r>
          </w:p>
        </w:tc>
        <w:tc>
          <w:tcPr>
            <w:tcW w:w="1843" w:type="dxa"/>
            <w:vMerge w:val="restart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ul. Dąbrowskiego 44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50-457 Wrocław</w:t>
            </w:r>
          </w:p>
        </w:tc>
        <w:tc>
          <w:tcPr>
            <w:tcW w:w="182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Ubezpieczenie majątku i odpowiedzialności cywilnej</w:t>
            </w:r>
          </w:p>
        </w:tc>
        <w:tc>
          <w:tcPr>
            <w:tcW w:w="11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87.194,00 </w:t>
            </w:r>
          </w:p>
        </w:tc>
        <w:tc>
          <w:tcPr>
            <w:tcW w:w="131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01.07.2017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30.06.2019</w:t>
            </w:r>
          </w:p>
        </w:tc>
        <w:tc>
          <w:tcPr>
            <w:tcW w:w="131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§12 wzoru umowy</w:t>
            </w:r>
          </w:p>
        </w:tc>
      </w:tr>
      <w:tr>
        <w:trPr/>
        <w:tc>
          <w:tcPr>
            <w:tcW w:w="544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3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2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Ubezpieczenie pojazdów mechanicznych</w:t>
            </w:r>
          </w:p>
        </w:tc>
        <w:tc>
          <w:tcPr>
            <w:tcW w:w="11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87.736,00</w:t>
            </w:r>
          </w:p>
        </w:tc>
        <w:tc>
          <w:tcPr>
            <w:tcW w:w="131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01.07.2017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30.06.2019</w:t>
            </w:r>
          </w:p>
        </w:tc>
        <w:tc>
          <w:tcPr>
            <w:tcW w:w="131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§12 wzoru umowy</w:t>
            </w:r>
          </w:p>
        </w:tc>
      </w:tr>
      <w:tr>
        <w:trPr/>
        <w:tc>
          <w:tcPr>
            <w:tcW w:w="544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3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2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III Ubezpieczenie NNW członków OSP</w:t>
            </w:r>
          </w:p>
        </w:tc>
        <w:tc>
          <w:tcPr>
            <w:tcW w:w="115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1.130,00</w:t>
            </w:r>
          </w:p>
        </w:tc>
        <w:tc>
          <w:tcPr>
            <w:tcW w:w="131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29.03.2019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28.03.2020</w:t>
            </w:r>
          </w:p>
        </w:tc>
        <w:tc>
          <w:tcPr>
            <w:tcW w:w="131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§12 wzoru umowy</w:t>
            </w:r>
          </w:p>
        </w:tc>
      </w:tr>
      <w:tr>
        <w:trPr/>
        <w:tc>
          <w:tcPr>
            <w:tcW w:w="544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2.</w:t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Compensa Towarzystwo Ubezpieczeń S.A.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Oddział w Zielonej Górze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ul. Wiśniowa 19 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65- 517 Wrocław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Ubezpieczenie pojazdów mechanicznych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55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69.992,00</w:t>
            </w:r>
          </w:p>
        </w:tc>
        <w:tc>
          <w:tcPr>
            <w:tcW w:w="1319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01.07.2017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30.06.2019 </w:t>
            </w:r>
          </w:p>
        </w:tc>
        <w:tc>
          <w:tcPr>
            <w:tcW w:w="131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§12 wzoru umowy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44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3.</w:t>
            </w:r>
          </w:p>
        </w:tc>
        <w:tc>
          <w:tcPr>
            <w:tcW w:w="1973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Powszechny Zakład Ubezpieczeń S.A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Warszawa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ul. Jana Pawła II 24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00-133 Warszawa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Ubezpieczenie majątku i odpowiedzialności cywilnej</w:t>
            </w:r>
          </w:p>
        </w:tc>
        <w:tc>
          <w:tcPr>
            <w:tcW w:w="1155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77.877,15</w:t>
            </w:r>
          </w:p>
        </w:tc>
        <w:tc>
          <w:tcPr>
            <w:tcW w:w="1319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01.07.2017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30.06.2019</w:t>
            </w:r>
          </w:p>
        </w:tc>
        <w:tc>
          <w:tcPr>
            <w:tcW w:w="131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§12 wzoru umowy</w:t>
            </w:r>
          </w:p>
        </w:tc>
      </w:tr>
      <w:tr>
        <w:trPr/>
        <w:tc>
          <w:tcPr>
            <w:tcW w:w="544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II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Ubezpieczenie pojazdów mechanicznych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55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82.512,34</w:t>
            </w:r>
          </w:p>
        </w:tc>
        <w:tc>
          <w:tcPr>
            <w:tcW w:w="1319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01.07.2017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30.06.2019</w:t>
            </w:r>
          </w:p>
        </w:tc>
        <w:tc>
          <w:tcPr>
            <w:tcW w:w="131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§12 wzoru umowy</w:t>
            </w:r>
          </w:p>
        </w:tc>
      </w:tr>
      <w:tr>
        <w:trPr/>
        <w:tc>
          <w:tcPr>
            <w:tcW w:w="544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Compensa Towarzystwo Ubezpieczeń S.A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Oddział we Wrocławiu</w:t>
            </w:r>
          </w:p>
        </w:tc>
        <w:tc>
          <w:tcPr>
            <w:tcW w:w="1843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ul. Grabiszyńska 8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53-235 Wrocław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Ubezpieczenie majątku i odpowiedzialności cywilnej</w:t>
            </w:r>
          </w:p>
        </w:tc>
        <w:tc>
          <w:tcPr>
            <w:tcW w:w="1155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72.558,00</w:t>
            </w:r>
          </w:p>
        </w:tc>
        <w:tc>
          <w:tcPr>
            <w:tcW w:w="1319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01.07.2017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30.06.2019 </w:t>
            </w:r>
          </w:p>
        </w:tc>
        <w:tc>
          <w:tcPr>
            <w:tcW w:w="131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§12 wzoru umowy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right"/>
        <w:rPr/>
      </w:pPr>
      <w:r>
        <w:rPr/>
        <w:t>Zamawiający</w:t>
      </w:r>
    </w:p>
    <w:p>
      <w:pPr>
        <w:pStyle w:val="Normal"/>
        <w:widowControl/>
        <w:bidi w:val="0"/>
        <w:spacing w:lineRule="auto" w:line="276" w:before="0" w:after="200"/>
        <w:jc w:val="right"/>
        <w:rPr/>
      </w:pPr>
      <w:r>
        <w:rPr/>
        <w:t>Burmistrz Miasta</w:t>
      </w:r>
    </w:p>
    <w:p>
      <w:pPr>
        <w:pStyle w:val="Normal"/>
        <w:widowControl/>
        <w:bidi w:val="0"/>
        <w:spacing w:lineRule="auto" w:line="276" w:before="0" w:after="200"/>
        <w:jc w:val="right"/>
        <w:rPr/>
      </w:pPr>
      <w:r>
        <w:rPr/>
        <w:t xml:space="preserve">Roland Marciniak </w:t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e2f66"/>
    <w:pPr>
      <w:spacing w:before="0" w:after="200"/>
      <w:ind w:left="720" w:hanging="0"/>
      <w:contextualSpacing/>
    </w:pPr>
    <w:rPr/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f47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LibreOffice/5.1.0.3$Windows_X86_64 LibreOffice_project/5e3e00a007d9b3b6efb6797a8b8e57b51ab1f737</Application>
  <Pages>2</Pages>
  <Words>305</Words>
  <Characters>2092</Characters>
  <CharactersWithSpaces>2324</CharactersWithSpaces>
  <Paragraphs>86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2017-06-14T06:21:00Z</dcterms:created>
  <dc:creator>Marcin Kowalski</dc:creator>
  <dc:description/>
  <dc:language>pl-PL</dc:language>
  <cp:lastModifiedBy/>
  <cp:lastPrinted>2017-06-14T13:44:10Z</cp:lastPrinted>
  <dcterms:modified xsi:type="dcterms:W3CDTF">2017-06-14T13:43:59Z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